
<file path=[Content_Types].xml><?xml version="1.0" encoding="utf-8"?>
<Types xmlns="http://schemas.openxmlformats.org/package/2006/content-types"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C2" w:rsidRPr="00352129" w:rsidRDefault="00352129" w:rsidP="00F352C2">
      <w:pPr>
        <w:pStyle w:val="2"/>
        <w:spacing w:before="0"/>
        <w:jc w:val="center"/>
        <w:rPr>
          <w:color w:val="002060"/>
          <w:lang w:val="ro-RO"/>
        </w:rPr>
      </w:pPr>
      <w:r w:rsidRPr="00352129">
        <w:rPr>
          <w:color w:val="002060"/>
          <w:lang w:val="ro-RO"/>
        </w:rPr>
        <w:t xml:space="preserve">Extras din </w:t>
      </w:r>
      <w:r w:rsidR="00F352C2" w:rsidRPr="00352129">
        <w:rPr>
          <w:color w:val="002060"/>
          <w:lang w:val="ro-RO"/>
        </w:rPr>
        <w:t xml:space="preserve">Raportul </w:t>
      </w:r>
      <w:r w:rsidRPr="00352129">
        <w:rPr>
          <w:color w:val="002060"/>
          <w:lang w:val="ro-RO"/>
        </w:rPr>
        <w:t xml:space="preserve">de baza al </w:t>
      </w:r>
      <w:r w:rsidR="00F352C2" w:rsidRPr="00352129">
        <w:rPr>
          <w:color w:val="002060"/>
          <w:lang w:val="ro-RO"/>
        </w:rPr>
        <w:t xml:space="preserve">activității  </w:t>
      </w:r>
    </w:p>
    <w:p w:rsidR="00352129" w:rsidRPr="00352129" w:rsidRDefault="00F352C2" w:rsidP="00F352C2">
      <w:pPr>
        <w:pStyle w:val="2"/>
        <w:spacing w:before="0"/>
        <w:jc w:val="center"/>
        <w:rPr>
          <w:color w:val="002060"/>
          <w:lang w:val="ro-RO"/>
        </w:rPr>
      </w:pPr>
      <w:r w:rsidRPr="00352129">
        <w:rPr>
          <w:color w:val="002060"/>
          <w:lang w:val="ro-RO"/>
        </w:rPr>
        <w:t>IMSP Institul Oncologic pentru anul 2018</w:t>
      </w:r>
    </w:p>
    <w:p w:rsidR="00352129" w:rsidRDefault="00352129" w:rsidP="00F352C2">
      <w:pPr>
        <w:pStyle w:val="2"/>
        <w:spacing w:before="0"/>
        <w:jc w:val="center"/>
        <w:rPr>
          <w:color w:val="002060"/>
          <w:u w:val="single"/>
          <w:lang w:val="ro-RO"/>
        </w:rPr>
      </w:pPr>
    </w:p>
    <w:p w:rsidR="00F352C2" w:rsidRPr="00F352C2" w:rsidRDefault="00352129" w:rsidP="00352129">
      <w:pPr>
        <w:pStyle w:val="2"/>
        <w:spacing w:before="0"/>
        <w:jc w:val="center"/>
        <w:rPr>
          <w:lang w:val="ro-RO"/>
        </w:rPr>
      </w:pPr>
      <w:r>
        <w:rPr>
          <w:color w:val="002060"/>
          <w:u w:val="single"/>
          <w:lang w:val="ro-RO"/>
        </w:rPr>
        <w:t>Compartimentul: Activitatea Economico-Financiară</w:t>
      </w:r>
    </w:p>
    <w:p w:rsidR="00F352C2" w:rsidRPr="00500EA8" w:rsidRDefault="00F352C2" w:rsidP="00F352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500EA8">
        <w:rPr>
          <w:rFonts w:ascii="Times New Roman" w:hAnsi="Times New Roman"/>
          <w:sz w:val="28"/>
          <w:szCs w:val="28"/>
          <w:lang w:val="ro-RO"/>
        </w:rPr>
        <w:t>Analiza activității economico-financiare a IMSP Institutul Oncologic efectuată pentru anul 2018 s-a realizat pe baza datelor cuprinse în bugetul de venituri și cheltuieli aprobat, precum și ale dărilor de seamă contabile la data de 31.12.2018.</w:t>
      </w:r>
    </w:p>
    <w:p w:rsidR="00F352C2" w:rsidRPr="00500EA8" w:rsidRDefault="00F352C2" w:rsidP="00F352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65A34" w:rsidRDefault="00965A34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65A34">
        <w:rPr>
          <w:rFonts w:ascii="Times New Roman" w:hAnsi="Times New Roman"/>
          <w:b/>
          <w:sz w:val="28"/>
          <w:szCs w:val="28"/>
          <w:u w:val="single"/>
          <w:lang w:val="ro-RO"/>
        </w:rPr>
        <w:t>Veniturile operaționale înregistrate</w:t>
      </w:r>
      <w:r w:rsidRPr="0010664A">
        <w:rPr>
          <w:rFonts w:ascii="Times New Roman" w:hAnsi="Times New Roman"/>
          <w:sz w:val="28"/>
          <w:szCs w:val="28"/>
          <w:lang w:val="ro-RO"/>
        </w:rPr>
        <w:t xml:space="preserve"> în cursul anului 2018</w:t>
      </w:r>
      <w:r>
        <w:rPr>
          <w:rFonts w:ascii="Times New Roman" w:hAnsi="Times New Roman"/>
          <w:sz w:val="28"/>
          <w:szCs w:val="28"/>
          <w:lang w:val="ro-RO"/>
        </w:rPr>
        <w:t xml:space="preserve"> au constituit</w:t>
      </w:r>
      <w:r w:rsidRPr="0010664A">
        <w:rPr>
          <w:rFonts w:ascii="Times New Roman" w:hAnsi="Times New Roman"/>
          <w:sz w:val="28"/>
          <w:szCs w:val="28"/>
          <w:lang w:val="ro-RO"/>
        </w:rPr>
        <w:t xml:space="preserve"> sumă de 375</w:t>
      </w:r>
      <w:r w:rsidR="0041027A">
        <w:rPr>
          <w:rFonts w:ascii="Times New Roman" w:hAnsi="Times New Roman"/>
          <w:sz w:val="28"/>
          <w:szCs w:val="28"/>
          <w:lang w:val="ro-RO"/>
        </w:rPr>
        <w:t>, 8 mln. lei, față de 293,6 mln lei înregistrate în anul 2016:</w:t>
      </w:r>
    </w:p>
    <w:p w:rsidR="00436546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158750</wp:posOffset>
            </wp:positionV>
            <wp:extent cx="2518410" cy="3215640"/>
            <wp:effectExtent l="19050" t="0" r="0" b="0"/>
            <wp:wrapNone/>
            <wp:docPr id="8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436546" w:rsidRDefault="00436546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36546" w:rsidRDefault="00436546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36546" w:rsidRDefault="00436546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36546" w:rsidRDefault="00436546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36546" w:rsidRDefault="00436546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027A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027A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027A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027A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027A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027A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027A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027A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027A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027A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027A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027A" w:rsidRDefault="0041027A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65A34" w:rsidRDefault="00965A34" w:rsidP="00965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Structura venturilor pe Institut are următoarea structură:</w:t>
      </w:r>
    </w:p>
    <w:p w:rsidR="00965A34" w:rsidRDefault="00965A34" w:rsidP="00965A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66,5 la sută - Contractul cu CNAM, fiind în total de 249,3 mln lei ( se atestă o majorare cu 28,4 % față de veniturile înregistrate în anul 2016).</w:t>
      </w:r>
    </w:p>
    <w:p w:rsidR="00965A34" w:rsidRDefault="00965A34" w:rsidP="00965A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24,8 la sută - Proiectele internaționale și sponsorizări în suma totală 93,2 mln. lei (83 la sută, respectiv suma de 77,2 mln lei, sunt medicamentele recepționate în cadrul Proectului cu Novartis);</w:t>
      </w:r>
    </w:p>
    <w:p w:rsidR="00965A34" w:rsidRDefault="00965A34" w:rsidP="00965A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4,4, la sută – venituri de la Fondator (MSMPS) în suma totală de 16,9 mln lei, cu destinație pentru PNCC;</w:t>
      </w:r>
    </w:p>
    <w:p w:rsidR="00965A34" w:rsidRDefault="00965A34" w:rsidP="00965A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3,1, la sută – veniturile din serviciile contra plată în suma totală de 11,6 mln. lei;</w:t>
      </w:r>
    </w:p>
    <w:p w:rsidR="00965A34" w:rsidRDefault="00965A34" w:rsidP="00965A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1,2 la sută - veniturile destinate pentru știință în suma totală 4,7 mln. lei;</w:t>
      </w:r>
    </w:p>
    <w:p w:rsidR="00965A34" w:rsidRDefault="00965A34" w:rsidP="00965A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65A34" w:rsidRDefault="00965A34" w:rsidP="00965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D2C64">
        <w:rPr>
          <w:rFonts w:ascii="Times New Roman" w:hAnsi="Times New Roman" w:cs="Times New Roman"/>
          <w:sz w:val="28"/>
          <w:szCs w:val="28"/>
          <w:lang w:val="ro-MO"/>
        </w:rPr>
        <w:t>Contractul de prestări servicii medicale încheiat cu CNAM pentru anul 2018 este în mărime de 239 325 852,38 lei (inclusiv 11 acorduri adiționale) și anume:</w:t>
      </w:r>
    </w:p>
    <w:p w:rsidR="00965A34" w:rsidRPr="000D2C64" w:rsidRDefault="00965A34" w:rsidP="00965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965A34" w:rsidRPr="000D2C64" w:rsidRDefault="00965A34" w:rsidP="00965A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D2C64">
        <w:rPr>
          <w:rFonts w:ascii="Times New Roman" w:hAnsi="Times New Roman" w:cs="Times New Roman"/>
          <w:sz w:val="28"/>
          <w:szCs w:val="28"/>
          <w:lang w:val="ro-MO"/>
        </w:rPr>
        <w:lastRenderedPageBreak/>
        <w:t>asistența medicală spitalicească - 206 896 615,41 lei;</w:t>
      </w:r>
    </w:p>
    <w:p w:rsidR="00965A34" w:rsidRPr="000D2C64" w:rsidRDefault="00965A34" w:rsidP="00965A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D2C64">
        <w:rPr>
          <w:rFonts w:ascii="Times New Roman" w:hAnsi="Times New Roman" w:cs="Times New Roman"/>
          <w:sz w:val="28"/>
          <w:szCs w:val="28"/>
          <w:lang w:val="ro-MO"/>
        </w:rPr>
        <w:t>asistența medicală specializată de ambulatoriu - 27 929 227,65 lei;</w:t>
      </w:r>
    </w:p>
    <w:p w:rsidR="00965A34" w:rsidRPr="000D2C64" w:rsidRDefault="00965A34" w:rsidP="00965A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D2C64">
        <w:rPr>
          <w:rFonts w:ascii="Times New Roman" w:hAnsi="Times New Roman" w:cs="Times New Roman"/>
          <w:sz w:val="28"/>
          <w:szCs w:val="28"/>
          <w:lang w:val="ro-MO"/>
        </w:rPr>
        <w:t>servicii de înaltă performanță - 3 500 000,00;</w:t>
      </w:r>
    </w:p>
    <w:p w:rsidR="00965A34" w:rsidRDefault="00965A34" w:rsidP="00965A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D2C64">
        <w:rPr>
          <w:rFonts w:ascii="Times New Roman" w:hAnsi="Times New Roman" w:cs="Times New Roman"/>
          <w:sz w:val="28"/>
          <w:szCs w:val="28"/>
          <w:lang w:val="ro-MO"/>
        </w:rPr>
        <w:t>examinări profilactice (screening glandei mamare) - 1 000 009,32 lei.</w:t>
      </w:r>
    </w:p>
    <w:p w:rsidR="00D55368" w:rsidRDefault="00D55368" w:rsidP="00D553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965A34" w:rsidRDefault="00022DBD" w:rsidP="00965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167640</wp:posOffset>
            </wp:positionV>
            <wp:extent cx="3688080" cy="20650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A34" w:rsidRPr="00965A34" w:rsidRDefault="00965A34" w:rsidP="00965A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965A34" w:rsidRDefault="00965A34" w:rsidP="00F35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o-MO"/>
        </w:rPr>
      </w:pPr>
    </w:p>
    <w:p w:rsidR="00022DBD" w:rsidRDefault="00022DBD" w:rsidP="00F35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o-MO"/>
        </w:rPr>
      </w:pPr>
    </w:p>
    <w:p w:rsidR="00022DBD" w:rsidRDefault="00022DBD" w:rsidP="00F35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o-MO"/>
        </w:rPr>
      </w:pPr>
    </w:p>
    <w:p w:rsidR="00022DBD" w:rsidRDefault="00022DBD" w:rsidP="00F35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o-MO"/>
        </w:rPr>
      </w:pPr>
    </w:p>
    <w:p w:rsidR="00022DBD" w:rsidRDefault="00022DBD" w:rsidP="00F35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o-MO"/>
        </w:rPr>
      </w:pPr>
    </w:p>
    <w:p w:rsidR="00022DBD" w:rsidRDefault="00022DBD" w:rsidP="00F35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o-MO"/>
        </w:rPr>
      </w:pPr>
    </w:p>
    <w:p w:rsidR="00022DBD" w:rsidRDefault="00022DBD" w:rsidP="00F35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o-MO"/>
        </w:rPr>
      </w:pPr>
    </w:p>
    <w:p w:rsidR="00022DBD" w:rsidRDefault="00022DBD" w:rsidP="00F35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o-MO"/>
        </w:rPr>
      </w:pPr>
    </w:p>
    <w:p w:rsidR="00022DBD" w:rsidRDefault="00022DBD" w:rsidP="00F35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o-MO"/>
        </w:rPr>
      </w:pPr>
    </w:p>
    <w:p w:rsidR="00022DBD" w:rsidRDefault="00022DBD" w:rsidP="00F35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o-MO"/>
        </w:rPr>
      </w:pPr>
    </w:p>
    <w:p w:rsidR="00022DBD" w:rsidRDefault="00022DBD" w:rsidP="00F35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o-MO"/>
        </w:rPr>
      </w:pPr>
    </w:p>
    <w:p w:rsidR="00F352C2" w:rsidRDefault="00F352C2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0035B7">
        <w:rPr>
          <w:rFonts w:ascii="Times New Roman" w:hAnsi="Times New Roman"/>
          <w:b/>
          <w:sz w:val="28"/>
          <w:szCs w:val="28"/>
          <w:u w:val="single"/>
          <w:lang w:val="ro-RO"/>
        </w:rPr>
        <w:t>Cheltuielile ale IMSP Institutului Oncologic în anul 2018</w:t>
      </w:r>
      <w:r w:rsidRPr="00500EA8">
        <w:rPr>
          <w:rFonts w:ascii="Times New Roman" w:hAnsi="Times New Roman"/>
          <w:sz w:val="28"/>
          <w:szCs w:val="28"/>
          <w:lang w:val="ro-RO"/>
        </w:rPr>
        <w:t>, sunt în valoare de 379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500EA8">
        <w:rPr>
          <w:rFonts w:ascii="Times New Roman" w:hAnsi="Times New Roman"/>
          <w:sz w:val="28"/>
          <w:szCs w:val="28"/>
          <w:lang w:val="ro-RO"/>
        </w:rPr>
        <w:t> 4</w:t>
      </w:r>
      <w:r>
        <w:rPr>
          <w:rFonts w:ascii="Times New Roman" w:hAnsi="Times New Roman"/>
          <w:sz w:val="28"/>
          <w:szCs w:val="28"/>
          <w:lang w:val="ro-RO"/>
        </w:rPr>
        <w:t xml:space="preserve"> mln</w:t>
      </w:r>
      <w:r w:rsidRPr="00500EA8">
        <w:rPr>
          <w:rFonts w:ascii="Times New Roman" w:hAnsi="Times New Roman"/>
          <w:sz w:val="28"/>
          <w:szCs w:val="28"/>
          <w:lang w:val="ro-RO"/>
        </w:rPr>
        <w:t xml:space="preserve"> lei și atestă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Pr="00500EA8">
        <w:rPr>
          <w:rFonts w:ascii="Times New Roman" w:hAnsi="Times New Roman"/>
          <w:sz w:val="28"/>
          <w:szCs w:val="28"/>
          <w:lang w:val="ro-RO"/>
        </w:rPr>
        <w:t xml:space="preserve"> o creștere cu </w:t>
      </w:r>
      <w:r w:rsidRPr="00500EA8">
        <w:rPr>
          <w:rFonts w:ascii="Times New Roman" w:hAnsi="Times New Roman"/>
          <w:bCs/>
          <w:sz w:val="28"/>
          <w:szCs w:val="28"/>
          <w:lang w:val="en-US"/>
        </w:rPr>
        <w:t>+</w:t>
      </w:r>
      <w:r w:rsidRPr="00500EA8">
        <w:rPr>
          <w:rFonts w:ascii="Times New Roman" w:hAnsi="Times New Roman"/>
          <w:bCs/>
          <w:sz w:val="28"/>
          <w:szCs w:val="28"/>
          <w:lang w:val="ro-RO"/>
        </w:rPr>
        <w:t>107</w:t>
      </w:r>
      <w:r>
        <w:rPr>
          <w:rFonts w:ascii="Times New Roman" w:hAnsi="Times New Roman"/>
          <w:bCs/>
          <w:sz w:val="28"/>
          <w:szCs w:val="28"/>
          <w:lang w:val="ro-RO"/>
        </w:rPr>
        <w:t>, 2 mln</w:t>
      </w:r>
      <w:r w:rsidRPr="00500EA8">
        <w:rPr>
          <w:rFonts w:ascii="Times New Roman" w:hAnsi="Times New Roman"/>
          <w:bCs/>
          <w:sz w:val="28"/>
          <w:szCs w:val="28"/>
          <w:lang w:val="ro-RO"/>
        </w:rPr>
        <w:t xml:space="preserve"> lei față de anul 2016</w:t>
      </w:r>
      <w:r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114300</wp:posOffset>
            </wp:positionV>
            <wp:extent cx="3036570" cy="2987040"/>
            <wp:effectExtent l="19050" t="0" r="0" b="0"/>
            <wp:wrapNone/>
            <wp:docPr id="7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F352C2" w:rsidRDefault="00F352C2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436546" w:rsidRDefault="00436546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F352C2" w:rsidRDefault="00F352C2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>Structura cheltuielilor în corespundere cu sursa de finanțare este următoarea:</w:t>
      </w:r>
    </w:p>
    <w:p w:rsidR="00F352C2" w:rsidRDefault="00F352C2" w:rsidP="00F352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22376">
        <w:rPr>
          <w:rFonts w:ascii="Times New Roman" w:hAnsi="Times New Roman"/>
          <w:sz w:val="28"/>
          <w:szCs w:val="28"/>
          <w:lang w:val="ro-RO"/>
        </w:rPr>
        <w:t>68,</w:t>
      </w:r>
      <w:r>
        <w:rPr>
          <w:rFonts w:ascii="Times New Roman" w:hAnsi="Times New Roman"/>
          <w:sz w:val="28"/>
          <w:szCs w:val="28"/>
          <w:lang w:val="ro-RO"/>
        </w:rPr>
        <w:t>6</w:t>
      </w:r>
      <w:r w:rsidRPr="00022376">
        <w:rPr>
          <w:rFonts w:ascii="Times New Roman" w:hAnsi="Times New Roman"/>
          <w:sz w:val="28"/>
          <w:szCs w:val="28"/>
          <w:lang w:val="ro-RO"/>
        </w:rPr>
        <w:t xml:space="preserve"> la sută, suma fiind</w:t>
      </w:r>
      <w:r>
        <w:rPr>
          <w:rFonts w:ascii="Times New Roman" w:hAnsi="Times New Roman"/>
          <w:sz w:val="28"/>
          <w:szCs w:val="28"/>
          <w:lang w:val="ro-RO"/>
        </w:rPr>
        <w:t xml:space="preserve"> total -</w:t>
      </w:r>
      <w:r w:rsidRPr="00022376">
        <w:rPr>
          <w:rFonts w:ascii="Times New Roman" w:hAnsi="Times New Roman"/>
          <w:sz w:val="28"/>
          <w:szCs w:val="28"/>
          <w:lang w:val="ro-RO"/>
        </w:rPr>
        <w:t xml:space="preserve"> 260, 2 mln lei</w:t>
      </w:r>
      <w:r>
        <w:rPr>
          <w:rFonts w:ascii="Times New Roman" w:hAnsi="Times New Roman"/>
          <w:sz w:val="28"/>
          <w:szCs w:val="28"/>
          <w:lang w:val="ro-RO"/>
        </w:rPr>
        <w:t xml:space="preserve"> oferită prin </w:t>
      </w:r>
      <w:r w:rsidRPr="00022376">
        <w:rPr>
          <w:rFonts w:ascii="Times New Roman" w:hAnsi="Times New Roman"/>
          <w:sz w:val="28"/>
          <w:szCs w:val="28"/>
          <w:lang w:val="ro-RO"/>
        </w:rPr>
        <w:t xml:space="preserve">Contractul cu CNAM; </w:t>
      </w:r>
    </w:p>
    <w:p w:rsidR="00F352C2" w:rsidRDefault="00F352C2" w:rsidP="00F352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4,9 la sută, suma fiind de 18,8 mln lei oferită de Fondator (MSMPS), dar structura acestor cheltuieli este următoarea:</w:t>
      </w:r>
    </w:p>
    <w:p w:rsidR="00F352C2" w:rsidRDefault="00F352C2" w:rsidP="00F352C2">
      <w:pPr>
        <w:pStyle w:val="a3"/>
        <w:spacing w:after="0" w:line="240" w:lineRule="auto"/>
        <w:ind w:left="1428" w:firstLine="696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87,2 % , suma fiind de 16,4 mln. lei destinată pentru procurarea mamografiilor screening ( cota de participare 13%  la proiectul investițional al CNAM),  stupefiantelor, factorului de coagulare (VIII și IX), și pungele protetice pentru stome, cheltuieli care vizează PNCC;</w:t>
      </w:r>
    </w:p>
    <w:p w:rsidR="00F352C2" w:rsidRDefault="00F352C2" w:rsidP="00F352C2">
      <w:pPr>
        <w:pStyle w:val="a3"/>
        <w:spacing w:after="0" w:line="240" w:lineRule="auto"/>
        <w:ind w:left="1428" w:firstLine="696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12,8%,  suma fiind de 2,4 mln lei acoperirea cheltuielilor pentru pacienții, care au beneficiat de tratament peste hotarele țării;</w:t>
      </w:r>
    </w:p>
    <w:p w:rsidR="00965A34" w:rsidRDefault="00965A34" w:rsidP="00F352C2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352C2" w:rsidRDefault="00F352C2" w:rsidP="00F352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23,4 la sută, suma fiind de 88,6 mln lei  Proiecte internațional, sponsorizări;</w:t>
      </w:r>
    </w:p>
    <w:p w:rsidR="00F352C2" w:rsidRDefault="00F352C2" w:rsidP="00F352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3,1 la sută –  11,8 mln lei, serviciile contra - plată și</w:t>
      </w:r>
      <w:r w:rsidRPr="0002237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arenda acumulate de Institut.</w:t>
      </w:r>
    </w:p>
    <w:p w:rsidR="00F352C2" w:rsidRDefault="00F352C2" w:rsidP="00F35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352C2" w:rsidRDefault="00F352C2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F352C2" w:rsidRDefault="00F352C2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>Majorarea cheltuielilor în dinamica anilor 2016-2018 a atins practic toate categoriile, cele mai relevante fiind:</w:t>
      </w:r>
    </w:p>
    <w:p w:rsidR="00F352C2" w:rsidRDefault="00F352C2" w:rsidP="00F352C2">
      <w:pPr>
        <w:pStyle w:val="a3"/>
        <w:numPr>
          <w:ilvl w:val="0"/>
          <w:numId w:val="2"/>
        </w:numPr>
        <w:spacing w:after="0" w:line="240" w:lineRule="auto"/>
        <w:ind w:hanging="435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A06D93">
        <w:rPr>
          <w:rFonts w:ascii="Times New Roman" w:hAnsi="Times New Roman"/>
          <w:bCs/>
          <w:sz w:val="28"/>
          <w:szCs w:val="28"/>
          <w:lang w:val="ro-RO"/>
        </w:rPr>
        <w:t>Remunirarea muncii – 94,8 mln. lei (+ 44,5% față de anul 2016)</w:t>
      </w:r>
      <w:r>
        <w:rPr>
          <w:rFonts w:ascii="Times New Roman" w:hAnsi="Times New Roman"/>
          <w:bCs/>
          <w:sz w:val="28"/>
          <w:szCs w:val="28"/>
          <w:lang w:val="ro-RO"/>
        </w:rPr>
        <w:t>;</w:t>
      </w:r>
    </w:p>
    <w:p w:rsidR="00F352C2" w:rsidRDefault="00F352C2" w:rsidP="00F352C2">
      <w:pPr>
        <w:pStyle w:val="a3"/>
        <w:numPr>
          <w:ilvl w:val="0"/>
          <w:numId w:val="2"/>
        </w:numPr>
        <w:spacing w:after="0" w:line="240" w:lineRule="auto"/>
        <w:ind w:hanging="435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A06D93">
        <w:rPr>
          <w:rFonts w:ascii="Times New Roman" w:hAnsi="Times New Roman"/>
          <w:bCs/>
          <w:sz w:val="28"/>
          <w:szCs w:val="28"/>
          <w:lang w:val="ro-RO"/>
        </w:rPr>
        <w:t>Asigurarea cu medicamente, inclusiv antineoplazice oferite pacienților în sumă de  167,6 mln lei  (+16,3 % față de 2016).</w:t>
      </w:r>
    </w:p>
    <w:p w:rsidR="00F352C2" w:rsidRDefault="00F352C2" w:rsidP="00F352C2">
      <w:pPr>
        <w:pStyle w:val="a3"/>
        <w:numPr>
          <w:ilvl w:val="0"/>
          <w:numId w:val="2"/>
        </w:numPr>
        <w:spacing w:after="0" w:line="240" w:lineRule="auto"/>
        <w:ind w:hanging="435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A06D93">
        <w:rPr>
          <w:rFonts w:ascii="Times New Roman" w:hAnsi="Times New Roman"/>
          <w:bCs/>
          <w:sz w:val="28"/>
          <w:szCs w:val="28"/>
          <w:lang w:val="ro-RO"/>
        </w:rPr>
        <w:t xml:space="preserve">O majorare esențială se înregistrează la fortificarea bazei tehnico-materiale la capitolul reparații. În pofida faptului că cota acestor cheltuieli în structura general constituie doar 4,8 la sută, cheltuielile realizate în suma de 18 mln lei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au o creștere dublă </w:t>
      </w:r>
      <w:r w:rsidRPr="00A06D93">
        <w:rPr>
          <w:rFonts w:ascii="Times New Roman" w:hAnsi="Times New Roman"/>
          <w:bCs/>
          <w:sz w:val="28"/>
          <w:szCs w:val="28"/>
          <w:lang w:val="ro-RO"/>
        </w:rPr>
        <w:t>față de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anul 2016, cînd sau realizat </w:t>
      </w:r>
      <w:r w:rsidRPr="00A06D93">
        <w:rPr>
          <w:rFonts w:ascii="Times New Roman" w:hAnsi="Times New Roman"/>
          <w:bCs/>
          <w:sz w:val="28"/>
          <w:szCs w:val="28"/>
          <w:lang w:val="ro-RO"/>
        </w:rPr>
        <w:t xml:space="preserve"> 9 mln le</w:t>
      </w:r>
      <w:r>
        <w:rPr>
          <w:rFonts w:ascii="Times New Roman" w:hAnsi="Times New Roman"/>
          <w:bCs/>
          <w:sz w:val="28"/>
          <w:szCs w:val="28"/>
          <w:lang w:val="ro-RO"/>
        </w:rPr>
        <w:t>i.</w:t>
      </w:r>
    </w:p>
    <w:p w:rsidR="00F352C2" w:rsidRDefault="00F352C2" w:rsidP="00F352C2">
      <w:pPr>
        <w:pStyle w:val="a3"/>
        <w:spacing w:after="0" w:line="240" w:lineRule="auto"/>
        <w:ind w:left="142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F352C2" w:rsidRDefault="00F352C2" w:rsidP="00F352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 xml:space="preserve">Cota cheltuielilor </w:t>
      </w:r>
      <w:r w:rsidR="00965A34">
        <w:rPr>
          <w:rFonts w:ascii="Times New Roman" w:hAnsi="Times New Roman"/>
          <w:bCs/>
          <w:sz w:val="28"/>
          <w:szCs w:val="28"/>
          <w:lang w:val="ro-RO"/>
        </w:rPr>
        <w:t xml:space="preserve">din venitul total, </w:t>
      </w:r>
      <w:r>
        <w:rPr>
          <w:rFonts w:ascii="Times New Roman" w:hAnsi="Times New Roman"/>
          <w:bCs/>
          <w:sz w:val="28"/>
          <w:szCs w:val="28"/>
          <w:lang w:val="ro-RO"/>
        </w:rPr>
        <w:t>pe compartimente în anul 2018, cu cea mai mare pondere în descreștere reprezintă următ</w:t>
      </w:r>
      <w:r w:rsidR="00965A34">
        <w:rPr>
          <w:rFonts w:ascii="Times New Roman" w:hAnsi="Times New Roman"/>
          <w:bCs/>
          <w:sz w:val="28"/>
          <w:szCs w:val="28"/>
          <w:lang w:val="ro-RO"/>
        </w:rPr>
        <w:t>oa</w:t>
      </w:r>
      <w:r>
        <w:rPr>
          <w:rFonts w:ascii="Times New Roman" w:hAnsi="Times New Roman"/>
          <w:bCs/>
          <w:sz w:val="28"/>
          <w:szCs w:val="28"/>
          <w:lang w:val="ro-RO"/>
        </w:rPr>
        <w:t>rea structură:</w:t>
      </w:r>
    </w:p>
    <w:p w:rsidR="00F352C2" w:rsidRDefault="00F352C2" w:rsidP="00F352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ab/>
        <w:t>44,2%  medicamentele – suma totală 167,6 mln lei;</w:t>
      </w:r>
    </w:p>
    <w:p w:rsidR="00F352C2" w:rsidRDefault="00F352C2" w:rsidP="00F352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ab/>
        <w:t>31,2%  cheltuielile salariale – suma totală 118,4 mln.lei;</w:t>
      </w:r>
    </w:p>
    <w:p w:rsidR="00F352C2" w:rsidRDefault="00F352C2" w:rsidP="00F352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ab/>
        <w:t xml:space="preserve"> 4,8 %  reparații curente și capitale – suma totală 18,3 mln. lei;</w:t>
      </w:r>
    </w:p>
    <w:p w:rsidR="00F352C2" w:rsidRDefault="00F352C2" w:rsidP="00F352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ab/>
        <w:t xml:space="preserve"> 3,7 %  servicii comunale – suma totală 14,2 mln lei;  ( Atestăm o optimizare a cheltuielilor față de 2017 cu 0,7 mln. lei (2017 - 14,9 mln lei) și ci 0,4 mln lei față de  2016; </w:t>
      </w:r>
    </w:p>
    <w:p w:rsidR="00F352C2" w:rsidRDefault="00F352C2" w:rsidP="00F352C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ab/>
        <w:t xml:space="preserve"> 2,4 % alimentația pacienților – suma totală 8,9 mln lei;</w:t>
      </w:r>
    </w:p>
    <w:p w:rsidR="00F352C2" w:rsidRDefault="00F352C2" w:rsidP="00F352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>13,7 % alte cheltuieli, inclusiv: perfecționarea cadrelor, serviciile medicale prestate de alți prestatori î baza de contracte, produsele petroliere, inventar moale, serviciile de paza, întreținerea SIA AMS, mentenanța dispozitivelor, ș.a.</w:t>
      </w:r>
    </w:p>
    <w:p w:rsidR="000705A5" w:rsidRDefault="00F352C2" w:rsidP="00410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ab/>
      </w:r>
      <w:r w:rsidR="005348F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78740</wp:posOffset>
            </wp:positionV>
            <wp:extent cx="4933950" cy="2152650"/>
            <wp:effectExtent l="19050" t="0" r="19050" b="0"/>
            <wp:wrapNone/>
            <wp:docPr id="4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705A5" w:rsidRDefault="000705A5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05A5" w:rsidRDefault="000705A5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05A5" w:rsidRDefault="000705A5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05A5" w:rsidRDefault="000705A5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05A5" w:rsidRDefault="000705A5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348F4" w:rsidRDefault="005348F4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348F4" w:rsidRDefault="005348F4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52129" w:rsidRDefault="00352129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52129" w:rsidRDefault="00352129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52129" w:rsidRDefault="00352129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52129" w:rsidRDefault="00352129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52129" w:rsidRDefault="00352129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52129" w:rsidRDefault="00352129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52129" w:rsidRDefault="00352129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52129" w:rsidRDefault="00352129" w:rsidP="00B1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05A5" w:rsidRDefault="000705A5" w:rsidP="00B12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Conform unui calcul mediu, </w:t>
      </w:r>
      <w:r w:rsidRPr="000705A5">
        <w:rPr>
          <w:rFonts w:ascii="Times New Roman" w:hAnsi="Times New Roman"/>
          <w:b/>
          <w:sz w:val="28"/>
          <w:szCs w:val="28"/>
          <w:lang w:val="ro-RO"/>
        </w:rPr>
        <w:t>lunar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în 2018,</w:t>
      </w:r>
      <w:r w:rsidRPr="000705A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cheltuielile IMSP Institutului Oncologic </w:t>
      </w:r>
      <w:r w:rsidR="0034711B">
        <w:rPr>
          <w:rFonts w:ascii="Times New Roman" w:hAnsi="Times New Roman"/>
          <w:sz w:val="28"/>
          <w:szCs w:val="28"/>
          <w:lang w:val="ro-RO"/>
        </w:rPr>
        <w:t>au avut</w:t>
      </w:r>
      <w:r w:rsidRPr="000705A5">
        <w:rPr>
          <w:rFonts w:ascii="Times New Roman" w:hAnsi="Times New Roman" w:cs="Times New Roman"/>
          <w:sz w:val="28"/>
          <w:szCs w:val="28"/>
          <w:lang w:val="ro-RO"/>
        </w:rPr>
        <w:t xml:space="preserve"> următoarea structură:</w:t>
      </w:r>
    </w:p>
    <w:p w:rsidR="000705A5" w:rsidRPr="000705A5" w:rsidRDefault="000705A5" w:rsidP="00B12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00000" w:rsidRPr="000705A5" w:rsidRDefault="000E4CB9" w:rsidP="0010245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5A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14 mln lei </w:t>
      </w:r>
      <w:r w:rsidRPr="000705A5">
        <w:rPr>
          <w:rFonts w:ascii="Times New Roman" w:hAnsi="Times New Roman" w:cs="Times New Roman"/>
          <w:bCs/>
          <w:sz w:val="28"/>
          <w:szCs w:val="28"/>
          <w:lang w:val="ro-RO"/>
        </w:rPr>
        <w:t>– pentru medicamente;</w:t>
      </w:r>
    </w:p>
    <w:p w:rsidR="00000000" w:rsidRPr="000705A5" w:rsidRDefault="000E4CB9" w:rsidP="0010245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05A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10 mln lei </w:t>
      </w:r>
      <w:r w:rsidRPr="000705A5">
        <w:rPr>
          <w:rFonts w:ascii="Times New Roman" w:hAnsi="Times New Roman" w:cs="Times New Roman"/>
          <w:bCs/>
          <w:sz w:val="28"/>
          <w:szCs w:val="28"/>
          <w:lang w:val="ro-RO"/>
        </w:rPr>
        <w:t>– pentru remunerarea muncii;</w:t>
      </w:r>
    </w:p>
    <w:p w:rsidR="00000000" w:rsidRPr="000705A5" w:rsidRDefault="000E4CB9" w:rsidP="0010245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5A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1,5 mln lei </w:t>
      </w:r>
      <w:r w:rsidRPr="000705A5">
        <w:rPr>
          <w:rFonts w:ascii="Times New Roman" w:hAnsi="Times New Roman" w:cs="Times New Roman"/>
          <w:bCs/>
          <w:sz w:val="28"/>
          <w:szCs w:val="28"/>
          <w:lang w:val="ro-RO"/>
        </w:rPr>
        <w:t>– pentru reparații;</w:t>
      </w:r>
    </w:p>
    <w:p w:rsidR="00000000" w:rsidRPr="000705A5" w:rsidRDefault="000E4CB9" w:rsidP="0010245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05A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1,2 mln lei </w:t>
      </w:r>
      <w:r w:rsidRPr="000705A5">
        <w:rPr>
          <w:rFonts w:ascii="Times New Roman" w:hAnsi="Times New Roman" w:cs="Times New Roman"/>
          <w:bCs/>
          <w:sz w:val="28"/>
          <w:szCs w:val="28"/>
          <w:lang w:val="ro-RO"/>
        </w:rPr>
        <w:t>pentru serviciile comunale;</w:t>
      </w:r>
    </w:p>
    <w:p w:rsidR="00000000" w:rsidRPr="000705A5" w:rsidRDefault="000E4CB9" w:rsidP="0010245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5A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740 mii lei </w:t>
      </w:r>
      <w:r w:rsidRPr="000705A5">
        <w:rPr>
          <w:rFonts w:ascii="Times New Roman" w:hAnsi="Times New Roman" w:cs="Times New Roman"/>
          <w:bCs/>
          <w:sz w:val="28"/>
          <w:szCs w:val="28"/>
          <w:lang w:val="ro-RO"/>
        </w:rPr>
        <w:t>pentru alimentație;</w:t>
      </w:r>
      <w:r w:rsidRPr="000705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48F4" w:rsidRPr="005348F4" w:rsidRDefault="005348F4" w:rsidP="005348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 w:rsidRPr="005348F4">
        <w:rPr>
          <w:rFonts w:ascii="Times New Roman" w:hAnsi="Times New Roman"/>
          <w:sz w:val="28"/>
          <w:szCs w:val="28"/>
          <w:lang w:val="ro-RO"/>
        </w:rPr>
        <w:t>IMSP Institutul Oncologic nu a înregistrat datorii istorice în anul 2018.</w:t>
      </w:r>
    </w:p>
    <w:p w:rsidR="00F643B9" w:rsidRDefault="00F643B9">
      <w:pPr>
        <w:rPr>
          <w:lang w:val="ro-RO"/>
        </w:rPr>
      </w:pPr>
    </w:p>
    <w:p w:rsidR="00725DD0" w:rsidRPr="00725DD0" w:rsidRDefault="00725DD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25DD0">
        <w:rPr>
          <w:rFonts w:ascii="Times New Roman" w:hAnsi="Times New Roman" w:cs="Times New Roman"/>
          <w:sz w:val="28"/>
          <w:szCs w:val="28"/>
          <w:lang w:val="ro-RO"/>
        </w:rPr>
        <w:t>Aprovizionarea cu med</w:t>
      </w:r>
      <w:r w:rsidR="0010245C">
        <w:rPr>
          <w:rFonts w:ascii="Times New Roman" w:hAnsi="Times New Roman" w:cs="Times New Roman"/>
          <w:sz w:val="28"/>
          <w:szCs w:val="28"/>
          <w:lang w:val="ro-RO"/>
        </w:rPr>
        <w:t>icamente în dinamica anilor 2015</w:t>
      </w:r>
      <w:r w:rsidRPr="00725DD0">
        <w:rPr>
          <w:rFonts w:ascii="Times New Roman" w:hAnsi="Times New Roman" w:cs="Times New Roman"/>
          <w:sz w:val="28"/>
          <w:szCs w:val="28"/>
          <w:lang w:val="ro-RO"/>
        </w:rPr>
        <w:t>-2018 atestă o majorare</w:t>
      </w:r>
      <w:r w:rsidR="0010245C">
        <w:rPr>
          <w:rFonts w:ascii="Times New Roman" w:hAnsi="Times New Roman" w:cs="Times New Roman"/>
          <w:sz w:val="28"/>
          <w:szCs w:val="28"/>
          <w:lang w:val="ro-RO"/>
        </w:rPr>
        <w:t xml:space="preserve"> cu 40 mln lei față de anul 2015</w:t>
      </w:r>
    </w:p>
    <w:p w:rsidR="00725DD0" w:rsidRDefault="00725DD0">
      <w:pPr>
        <w:rPr>
          <w:lang w:val="ro-RO"/>
        </w:rPr>
      </w:pPr>
      <w:r w:rsidRPr="00725DD0">
        <w:rPr>
          <w:lang w:val="ro-RO"/>
        </w:rPr>
        <w:drawing>
          <wp:inline distT="0" distB="0" distL="0" distR="0">
            <wp:extent cx="5170170" cy="2339340"/>
            <wp:effectExtent l="19050" t="0" r="11430" b="381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5DD0" w:rsidRPr="0010245C" w:rsidRDefault="0010245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0245C">
        <w:rPr>
          <w:rFonts w:ascii="Times New Roman" w:hAnsi="Times New Roman" w:cs="Times New Roman"/>
          <w:sz w:val="28"/>
          <w:szCs w:val="28"/>
          <w:lang w:val="ro-RO"/>
        </w:rPr>
        <w:t>Sau majorat investițiile în întreținerea și mentenanța dispozitivelor medicale, fapt ce a contribuit la perfecționarea securității, siguranței și calității actului medical</w:t>
      </w:r>
      <w:r w:rsidR="00A44074">
        <w:rPr>
          <w:rFonts w:ascii="Times New Roman" w:hAnsi="Times New Roman" w:cs="Times New Roman"/>
          <w:sz w:val="28"/>
          <w:szCs w:val="28"/>
          <w:lang w:val="ro-RO"/>
        </w:rPr>
        <w:t xml:space="preserve"> de la 3,7 mln lei în 2016 la 7,5 mln lei în 2018</w:t>
      </w:r>
    </w:p>
    <w:p w:rsidR="00725DD0" w:rsidRDefault="0010245C">
      <w:pPr>
        <w:rPr>
          <w:lang w:val="ro-RO"/>
        </w:rPr>
      </w:pPr>
      <w:r w:rsidRPr="0010245C">
        <w:rPr>
          <w:lang w:val="ro-RO"/>
        </w:rPr>
        <w:lastRenderedPageBreak/>
        <w:drawing>
          <wp:inline distT="0" distB="0" distL="0" distR="0">
            <wp:extent cx="4712970" cy="3314700"/>
            <wp:effectExtent l="1905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253" cy="3312789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D0" w:rsidRDefault="00725DD0">
      <w:pPr>
        <w:rPr>
          <w:lang w:val="ro-RO"/>
        </w:rPr>
      </w:pPr>
    </w:p>
    <w:p w:rsidR="00725DD0" w:rsidRDefault="00C9528F" w:rsidP="00C952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C9528F">
        <w:rPr>
          <w:rFonts w:ascii="Times New Roman" w:hAnsi="Times New Roman" w:cs="Times New Roman"/>
          <w:sz w:val="28"/>
          <w:szCs w:val="28"/>
          <w:lang w:val="ro-RO"/>
        </w:rPr>
        <w:t>Investițiile în baza tehnico materială au creat condiții pentru pacienți, pentru securitatea actului medical și condiții de lucru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9528F" w:rsidRPr="00D55368" w:rsidRDefault="00C9528F" w:rsidP="00C952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Astfel, </w:t>
      </w:r>
      <w:r w:rsidR="002510AC">
        <w:rPr>
          <w:rFonts w:ascii="Times New Roman" w:hAnsi="Times New Roman" w:cs="Times New Roman"/>
          <w:sz w:val="28"/>
          <w:szCs w:val="28"/>
          <w:lang w:val="ro-RO"/>
        </w:rPr>
        <w:t xml:space="preserve">doar </w:t>
      </w: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C9528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chimbarea geamurilor circa 90% la toate blocurile IMSP IO </w:t>
      </w:r>
      <w:r w:rsidR="00FC3E9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 permis de a obține </w:t>
      </w:r>
      <w:r w:rsidRPr="00C9528F">
        <w:rPr>
          <w:rFonts w:ascii="Times New Roman" w:hAnsi="Times New Roman" w:cs="Times New Roman"/>
          <w:bCs/>
          <w:sz w:val="28"/>
          <w:szCs w:val="28"/>
          <w:lang w:val="ro-RO"/>
        </w:rPr>
        <w:t>o economie pentru energia termică de 90,0 mii lei</w:t>
      </w:r>
      <w:r w:rsidR="002510AC">
        <w:rPr>
          <w:rFonts w:ascii="Times New Roman" w:hAnsi="Times New Roman" w:cs="Times New Roman"/>
          <w:bCs/>
          <w:sz w:val="28"/>
          <w:szCs w:val="28"/>
          <w:lang w:val="ro-RO"/>
        </w:rPr>
        <w:t>/lunar</w:t>
      </w:r>
      <w:r w:rsidRPr="00C9528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față de anul 2017</w:t>
      </w:r>
      <w:r w:rsidR="002510A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2510AC" w:rsidRPr="000162E0">
        <w:rPr>
          <w:rFonts w:ascii="Times New Roman" w:hAnsi="Times New Roman" w:cs="Times New Roman"/>
          <w:bCs/>
          <w:sz w:val="28"/>
          <w:szCs w:val="28"/>
          <w:u w:val="single"/>
          <w:lang w:val="ro-RO"/>
        </w:rPr>
        <w:t>î</w:t>
      </w:r>
      <w:r w:rsidRPr="000162E0">
        <w:rPr>
          <w:rFonts w:ascii="Times New Roman" w:hAnsi="Times New Roman" w:cs="Times New Roman"/>
          <w:bCs/>
          <w:sz w:val="28"/>
          <w:szCs w:val="28"/>
          <w:u w:val="single"/>
          <w:lang w:val="ro-RO"/>
        </w:rPr>
        <w:t>n pofida faptului, că</w:t>
      </w:r>
      <w:r w:rsidR="00D55368">
        <w:rPr>
          <w:rFonts w:ascii="Times New Roman" w:hAnsi="Times New Roman" w:cs="Times New Roman"/>
          <w:bCs/>
          <w:sz w:val="28"/>
          <w:szCs w:val="28"/>
          <w:u w:val="single"/>
          <w:lang w:val="ro-RO"/>
        </w:rPr>
        <w:t xml:space="preserve"> </w:t>
      </w:r>
      <w:r w:rsidRPr="00C9528F">
        <w:rPr>
          <w:rFonts w:ascii="Times New Roman" w:hAnsi="Times New Roman" w:cs="Times New Roman"/>
          <w:bCs/>
          <w:sz w:val="28"/>
          <w:szCs w:val="28"/>
          <w:lang w:val="ro-RO"/>
        </w:rPr>
        <w:t>în 2018 tarifele au fost - 1346,4 lei/gkal,</w:t>
      </w:r>
      <w:r w:rsidR="00D5536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C9528F">
        <w:rPr>
          <w:rFonts w:ascii="Times New Roman" w:hAnsi="Times New Roman" w:cs="Times New Roman"/>
          <w:bCs/>
          <w:sz w:val="28"/>
          <w:szCs w:val="28"/>
          <w:lang w:val="ro-RO"/>
        </w:rPr>
        <w:t>iar 2017-1281,6 lei/gkal.</w:t>
      </w:r>
      <w:r w:rsidRPr="00D553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C9528F" w:rsidRDefault="00C9528F">
      <w:pPr>
        <w:rPr>
          <w:lang w:val="en-US"/>
        </w:rPr>
      </w:pPr>
    </w:p>
    <w:p w:rsidR="002510AC" w:rsidRDefault="00D3758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346677">
        <w:rPr>
          <w:rFonts w:ascii="Times New Roman" w:hAnsi="Times New Roman" w:cs="Times New Roman"/>
          <w:b/>
          <w:sz w:val="28"/>
          <w:szCs w:val="28"/>
          <w:lang w:val="ro-RO"/>
        </w:rPr>
        <w:t>În concluzii:</w:t>
      </w:r>
      <w:r w:rsidRPr="00346677">
        <w:rPr>
          <w:rFonts w:ascii="Times New Roman" w:hAnsi="Times New Roman" w:cs="Times New Roman"/>
          <w:sz w:val="28"/>
          <w:szCs w:val="28"/>
          <w:lang w:val="ro-RO"/>
        </w:rPr>
        <w:t xml:space="preserve"> Majorarea venitului </w:t>
      </w:r>
      <w:r w:rsidR="00346677">
        <w:rPr>
          <w:rFonts w:ascii="Times New Roman" w:hAnsi="Times New Roman" w:cs="Times New Roman"/>
          <w:sz w:val="28"/>
          <w:szCs w:val="28"/>
          <w:lang w:val="ro-RO"/>
        </w:rPr>
        <w:t xml:space="preserve">înregistrat în IMSP Institutul Oncologic </w:t>
      </w:r>
      <w:r w:rsidRPr="00346677">
        <w:rPr>
          <w:rFonts w:ascii="Times New Roman" w:hAnsi="Times New Roman" w:cs="Times New Roman"/>
          <w:sz w:val="28"/>
          <w:szCs w:val="28"/>
          <w:lang w:val="ro-RO"/>
        </w:rPr>
        <w:t xml:space="preserve">cu 82,2 mln lei </w:t>
      </w:r>
      <w:r w:rsidR="00346677">
        <w:rPr>
          <w:rFonts w:ascii="Times New Roman" w:hAnsi="Times New Roman" w:cs="Times New Roman"/>
          <w:sz w:val="28"/>
          <w:szCs w:val="28"/>
          <w:lang w:val="ro-RO"/>
        </w:rPr>
        <w:t>în anul 2018, față de anul 2017</w:t>
      </w:r>
      <w:r w:rsidR="00346677" w:rsidRPr="00346677">
        <w:rPr>
          <w:rFonts w:ascii="Times New Roman" w:hAnsi="Times New Roman" w:cs="Times New Roman"/>
          <w:sz w:val="28"/>
          <w:szCs w:val="28"/>
          <w:lang w:val="ro-RO"/>
        </w:rPr>
        <w:t xml:space="preserve"> a permis majorarea cheltuielilor cu 107,2 mln lei </w:t>
      </w:r>
      <w:r w:rsidR="00346677">
        <w:rPr>
          <w:rFonts w:ascii="Times New Roman" w:hAnsi="Times New Roman" w:cs="Times New Roman"/>
          <w:sz w:val="28"/>
          <w:szCs w:val="28"/>
          <w:lang w:val="ro-RO"/>
        </w:rPr>
        <w:t xml:space="preserve">în comparație cu aceiași perioadă, fapt ce a </w:t>
      </w:r>
      <w:r w:rsidR="00533779">
        <w:rPr>
          <w:rFonts w:ascii="Times New Roman" w:hAnsi="Times New Roman" w:cs="Times New Roman"/>
          <w:sz w:val="28"/>
          <w:szCs w:val="28"/>
          <w:lang w:val="ro-RO"/>
        </w:rPr>
        <w:t>avut</w:t>
      </w:r>
      <w:r w:rsidR="00346677" w:rsidRPr="00346677">
        <w:rPr>
          <w:rFonts w:ascii="Times New Roman" w:hAnsi="Times New Roman" w:cs="Times New Roman"/>
          <w:sz w:val="28"/>
          <w:szCs w:val="28"/>
          <w:lang w:val="ro-RO"/>
        </w:rPr>
        <w:t xml:space="preserve"> un impact </w:t>
      </w:r>
      <w:r w:rsidR="00533779">
        <w:rPr>
          <w:rFonts w:ascii="Times New Roman" w:hAnsi="Times New Roman" w:cs="Times New Roman"/>
          <w:sz w:val="28"/>
          <w:szCs w:val="28"/>
          <w:lang w:val="ro-RO"/>
        </w:rPr>
        <w:t xml:space="preserve">major </w:t>
      </w:r>
      <w:r w:rsidR="00346677" w:rsidRPr="00346677">
        <w:rPr>
          <w:rFonts w:ascii="Times New Roman" w:hAnsi="Times New Roman" w:cs="Times New Roman"/>
          <w:sz w:val="28"/>
          <w:szCs w:val="28"/>
          <w:lang w:val="ro-RO"/>
        </w:rPr>
        <w:t>asupra accesului la asistența medical</w:t>
      </w:r>
      <w:r w:rsidR="0034667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346677" w:rsidRPr="00346677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346677">
        <w:rPr>
          <w:rFonts w:ascii="Times New Roman" w:hAnsi="Times New Roman" w:cs="Times New Roman"/>
          <w:sz w:val="28"/>
          <w:szCs w:val="28"/>
          <w:lang w:val="ro-RO"/>
        </w:rPr>
        <w:t>majorarea calității</w:t>
      </w:r>
      <w:r w:rsidR="00346677" w:rsidRPr="00346677">
        <w:rPr>
          <w:rFonts w:ascii="Times New Roman" w:hAnsi="Times New Roman" w:cs="Times New Roman"/>
          <w:sz w:val="28"/>
          <w:szCs w:val="28"/>
          <w:lang w:val="ro-RO"/>
        </w:rPr>
        <w:t xml:space="preserve"> actului medical.</w:t>
      </w:r>
    </w:p>
    <w:p w:rsidR="00346677" w:rsidRDefault="0034667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46677" w:rsidRPr="00346677" w:rsidRDefault="0034667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6677">
        <w:rPr>
          <w:rFonts w:ascii="Times New Roman" w:hAnsi="Times New Roman" w:cs="Times New Roman"/>
          <w:b/>
          <w:sz w:val="28"/>
          <w:szCs w:val="28"/>
          <w:lang w:val="ro-RO"/>
        </w:rPr>
        <w:t>Director Larisa Catrinici</w:t>
      </w:r>
    </w:p>
    <w:p w:rsidR="00346677" w:rsidRPr="00346677" w:rsidRDefault="0034667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6677">
        <w:rPr>
          <w:rFonts w:ascii="Times New Roman" w:hAnsi="Times New Roman" w:cs="Times New Roman"/>
          <w:b/>
          <w:sz w:val="28"/>
          <w:szCs w:val="28"/>
          <w:lang w:val="ro-RO"/>
        </w:rPr>
        <w:t>Șef Secție Economie Finanță, dna Andgela Sîrbu</w:t>
      </w:r>
    </w:p>
    <w:p w:rsidR="00C9528F" w:rsidRPr="00346677" w:rsidRDefault="00C9528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528F" w:rsidRDefault="00C9528F">
      <w:pPr>
        <w:rPr>
          <w:lang w:val="ro-RO"/>
        </w:rPr>
      </w:pPr>
    </w:p>
    <w:sectPr w:rsidR="00C9528F" w:rsidSect="003521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DBA"/>
    <w:multiLevelType w:val="hybridMultilevel"/>
    <w:tmpl w:val="CD4A0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012E0D"/>
    <w:multiLevelType w:val="multilevel"/>
    <w:tmpl w:val="B86210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1D73C2"/>
    <w:multiLevelType w:val="hybridMultilevel"/>
    <w:tmpl w:val="2EA84F8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D2134"/>
    <w:multiLevelType w:val="hybridMultilevel"/>
    <w:tmpl w:val="0F92C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0467760"/>
    <w:multiLevelType w:val="hybridMultilevel"/>
    <w:tmpl w:val="C5D29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B30CA4"/>
    <w:multiLevelType w:val="hybridMultilevel"/>
    <w:tmpl w:val="43767D46"/>
    <w:lvl w:ilvl="0" w:tplc="4B22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0A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07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E9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88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E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4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84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43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2C2"/>
    <w:rsid w:val="000162E0"/>
    <w:rsid w:val="00022DBD"/>
    <w:rsid w:val="000705A5"/>
    <w:rsid w:val="000E4CB9"/>
    <w:rsid w:val="0010245C"/>
    <w:rsid w:val="002510AC"/>
    <w:rsid w:val="00346677"/>
    <w:rsid w:val="0034711B"/>
    <w:rsid w:val="00352129"/>
    <w:rsid w:val="0041027A"/>
    <w:rsid w:val="00436546"/>
    <w:rsid w:val="00533779"/>
    <w:rsid w:val="005348F4"/>
    <w:rsid w:val="00725DD0"/>
    <w:rsid w:val="007D63BA"/>
    <w:rsid w:val="00965A34"/>
    <w:rsid w:val="00A44074"/>
    <w:rsid w:val="00B120C7"/>
    <w:rsid w:val="00C9528F"/>
    <w:rsid w:val="00D37584"/>
    <w:rsid w:val="00D55368"/>
    <w:rsid w:val="00F352C2"/>
    <w:rsid w:val="00F643B9"/>
    <w:rsid w:val="00FC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C2"/>
  </w:style>
  <w:style w:type="paragraph" w:styleId="2">
    <w:name w:val="heading 2"/>
    <w:basedOn w:val="a"/>
    <w:next w:val="a"/>
    <w:link w:val="20"/>
    <w:uiPriority w:val="9"/>
    <w:unhideWhenUsed/>
    <w:qFormat/>
    <w:rsid w:val="00F35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Заголовок 3 глава,Akapit z listą BS,Outlines a.b.c.,List_Paragraph,Multilevel para_II,Akapit z lista BS,List Paragraph1,Normal bullet 2,Forth level,List1,body 2,List Paragraph11,Listă colorată - Accentuare 11,Bullet,Citation List"/>
    <w:basedOn w:val="a"/>
    <w:link w:val="a4"/>
    <w:uiPriority w:val="34"/>
    <w:qFormat/>
    <w:rsid w:val="00F352C2"/>
    <w:pPr>
      <w:ind w:left="720"/>
      <w:contextualSpacing/>
    </w:pPr>
  </w:style>
  <w:style w:type="character" w:customStyle="1" w:styleId="a4">
    <w:name w:val="Абзац списка Знак"/>
    <w:aliases w:val="Заголовок 3 глава Знак,Akapit z listą BS Знак,Outlines a.b.c. Знак,List_Paragraph Знак,Multilevel para_II Знак,Akapit z lista BS Знак,List Paragraph1 Знак,Normal bullet 2 Знак,Forth level Знак,List1 Знак,body 2 Знак,Bullet Знак"/>
    <w:link w:val="a3"/>
    <w:uiPriority w:val="34"/>
    <w:locked/>
    <w:rsid w:val="00F352C2"/>
  </w:style>
  <w:style w:type="paragraph" w:styleId="a5">
    <w:name w:val="Balloon Text"/>
    <w:basedOn w:val="a"/>
    <w:link w:val="a6"/>
    <w:uiPriority w:val="99"/>
    <w:semiHidden/>
    <w:unhideWhenUsed/>
    <w:rsid w:val="0072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0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6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6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darea%20de%20sama2018\&#1086;&#1090;&#1095;&#1077;&#1090;2018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128048780487799"/>
          <c:y val="6.25E-2"/>
          <c:w val="0.730182926829268"/>
          <c:h val="0.831521739130434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20A0BA"/>
                </a:gs>
                <a:gs pos="100000">
                  <a:srgbClr val="20A0BA">
                    <a:gamma/>
                    <a:tint val="43922"/>
                    <a:invGamma/>
                  </a:srgbClr>
                </a:gs>
              </a:gsLst>
              <a:lin ang="0" scaled="1"/>
            </a:gradFill>
            <a:ln w="25400">
              <a:noFill/>
            </a:ln>
          </c:spPr>
          <c:dLbls>
            <c:dLbl>
              <c:idx val="0"/>
              <c:layout>
                <c:manualLayout>
                  <c:x val="-5.4726893666868313E-3"/>
                  <c:y val="-1.6557381858220605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1"/>
              </c:numCache>
            </c:numRef>
          </c:cat>
          <c:val>
            <c:numRef>
              <c:f>Sheet1!$B$2:$F$2</c:f>
              <c:numCache>
                <c:formatCode>General</c:formatCode>
                <c:ptCount val="1"/>
                <c:pt idx="0">
                  <c:v>375.8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008000">
                    <a:gamma/>
                    <a:tint val="44314"/>
                    <a:invGamma/>
                  </a:srgbClr>
                </a:gs>
                <a:gs pos="100000">
                  <a:srgbClr val="008000"/>
                </a:gs>
              </a:gsLst>
              <a:lin ang="0" scaled="1"/>
            </a:gradFill>
            <a:ln w="25400">
              <a:noFill/>
            </a:ln>
          </c:spPr>
          <c:dLbls>
            <c:dLbl>
              <c:idx val="0"/>
              <c:layout>
                <c:manualLayout>
                  <c:x val="1.4719254696366258E-3"/>
                  <c:y val="-2.3311478474521963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1"/>
              </c:numCache>
            </c:numRef>
          </c:cat>
          <c:val>
            <c:numRef>
              <c:f>Sheet1!$B$3:$F$3</c:f>
              <c:numCache>
                <c:formatCode>General</c:formatCode>
                <c:ptCount val="1"/>
                <c:pt idx="0">
                  <c:v>345.1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0">
              <a:gsLst>
                <a:gs pos="0">
                  <a:srgbClr val="000080">
                    <a:gamma/>
                    <a:tint val="50980"/>
                    <a:invGamma/>
                  </a:srgbClr>
                </a:gs>
                <a:gs pos="100000">
                  <a:srgbClr val="000080"/>
                </a:gs>
              </a:gsLst>
              <a:lin ang="0" scaled="1"/>
            </a:gradFill>
            <a:ln w="25400">
              <a:noFill/>
            </a:ln>
          </c:spPr>
          <c:dLbls>
            <c:dLbl>
              <c:idx val="0"/>
              <c:layout>
                <c:manualLayout>
                  <c:x val="1.1465124922726512E-2"/>
                  <c:y val="-1.352200388275364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1"/>
              </c:numCache>
            </c:numRef>
          </c:cat>
          <c:val>
            <c:numRef>
              <c:f>Sheet1!$B$4:$F$4</c:f>
              <c:numCache>
                <c:formatCode>General</c:formatCode>
                <c:ptCount val="1"/>
                <c:pt idx="0">
                  <c:v>293.60000000000002</c:v>
                </c:pt>
              </c:numCache>
            </c:numRef>
          </c:val>
        </c:ser>
        <c:dLbls>
          <c:showVal val="1"/>
        </c:dLbls>
        <c:axId val="76286976"/>
        <c:axId val="76289536"/>
      </c:barChart>
      <c:catAx>
        <c:axId val="762869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289536"/>
        <c:crosses val="autoZero"/>
        <c:auto val="1"/>
        <c:lblAlgn val="ctr"/>
        <c:lblOffset val="100"/>
        <c:tickLblSkip val="1"/>
        <c:tickMarkSkip val="1"/>
      </c:catAx>
      <c:valAx>
        <c:axId val="762895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286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2652439024390238"/>
          <c:y val="0.9375"/>
          <c:w val="0.81554878048780488"/>
          <c:h val="5.16304347826087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549738219895292E-2"/>
          <c:y val="6.1141304347826081E-2"/>
          <c:w val="0.76178010471204172"/>
          <c:h val="0.8328804347826085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20A0BA"/>
                </a:gs>
                <a:gs pos="100000">
                  <a:srgbClr val="20A0BA">
                    <a:gamma/>
                    <a:tint val="43922"/>
                    <a:invGamma/>
                  </a:srgbClr>
                </a:gs>
              </a:gsLst>
              <a:lin ang="0" scaled="1"/>
            </a:gradFill>
            <a:ln w="25401">
              <a:noFill/>
            </a:ln>
          </c:spPr>
          <c:dLbls>
            <c:dLbl>
              <c:idx val="0"/>
              <c:layout>
                <c:manualLayout>
                  <c:x val="-5.6792491528606329E-3"/>
                  <c:y val="-1.3912359248728171E-2"/>
                </c:manualLayout>
              </c:layout>
              <c:dLblPos val="outEnd"/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1"/>
              </c:numCache>
            </c:numRef>
          </c:cat>
          <c:val>
            <c:numRef>
              <c:f>Sheet1!$B$2:$F$2</c:f>
              <c:numCache>
                <c:formatCode>General</c:formatCode>
                <c:ptCount val="1"/>
                <c:pt idx="0">
                  <c:v>379.4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008000">
                    <a:gamma/>
                    <a:tint val="44314"/>
                    <a:invGamma/>
                  </a:srgbClr>
                </a:gs>
                <a:gs pos="100000">
                  <a:srgbClr val="008000"/>
                </a:gs>
              </a:gsLst>
              <a:lin ang="0" scaled="1"/>
            </a:gradFill>
            <a:ln w="25401">
              <a:noFill/>
            </a:ln>
          </c:spPr>
          <c:dLbls>
            <c:dLbl>
              <c:idx val="0"/>
              <c:layout>
                <c:manualLayout>
                  <c:x val="-2.2934259137875931E-2"/>
                  <c:y val="-4.001391631846667E-3"/>
                </c:manualLayout>
              </c:layout>
              <c:dLblPos val="outEnd"/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1"/>
              </c:numCache>
            </c:numRef>
          </c:cat>
          <c:val>
            <c:numRef>
              <c:f>Sheet1!$B$3:$F$3</c:f>
              <c:numCache>
                <c:formatCode>General</c:formatCode>
                <c:ptCount val="1"/>
                <c:pt idx="0">
                  <c:v>330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0">
              <a:gsLst>
                <a:gs pos="0">
                  <a:srgbClr val="000080">
                    <a:gamma/>
                    <a:tint val="50980"/>
                    <a:invGamma/>
                  </a:srgbClr>
                </a:gs>
                <a:gs pos="100000">
                  <a:srgbClr val="000080"/>
                </a:gs>
              </a:gsLst>
              <a:lin ang="0" scaled="1"/>
            </a:gradFill>
            <a:ln w="25401">
              <a:noFill/>
            </a:ln>
          </c:spPr>
          <c:dLbls>
            <c:dLbl>
              <c:idx val="0"/>
              <c:layout>
                <c:manualLayout>
                  <c:x val="1.5699549479423321E-2"/>
                  <c:y val="-3.2204370492880498E-3"/>
                </c:manualLayout>
              </c:layout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sz="1000"/>
                      <a:t>1</a:t>
                    </a:r>
                    <a:r>
                      <a:t>32,0</a:t>
                    </a:r>
                  </a:p>
                </c:rich>
              </c:tx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1"/>
              </c:numCache>
            </c:numRef>
          </c:cat>
          <c:val>
            <c:numRef>
              <c:f>Sheet1!$B$4:$F$4</c:f>
              <c:numCache>
                <c:formatCode>General</c:formatCode>
                <c:ptCount val="1"/>
                <c:pt idx="0">
                  <c:v>272.3</c:v>
                </c:pt>
              </c:numCache>
            </c:numRef>
          </c:val>
        </c:ser>
        <c:dLbls>
          <c:showVal val="1"/>
        </c:dLbls>
        <c:axId val="76395648"/>
        <c:axId val="77037952"/>
      </c:barChart>
      <c:catAx>
        <c:axId val="763956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7037952"/>
        <c:crosses val="autoZero"/>
        <c:auto val="1"/>
        <c:lblAlgn val="ctr"/>
        <c:lblOffset val="100"/>
        <c:tickLblSkip val="1"/>
        <c:tickMarkSkip val="1"/>
      </c:catAx>
      <c:valAx>
        <c:axId val="770379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395648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17015706806282724"/>
          <c:y val="0.94429347826086962"/>
          <c:w val="0.64397905759162344"/>
          <c:h val="5.16304347826087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40"/>
      <c:perspective val="0"/>
    </c:view3D>
    <c:plotArea>
      <c:layout>
        <c:manualLayout>
          <c:layoutTarget val="inner"/>
          <c:xMode val="edge"/>
          <c:yMode val="edge"/>
          <c:x val="1.2596803777906139E-2"/>
          <c:y val="0.18313148909483662"/>
          <c:w val="0.93289841565703679"/>
          <c:h val="0.4992076069730587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mil. Lei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"/>
          <c:dPt>
            <c:idx val="0"/>
            <c:explosion val="0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58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54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3367482100573255E-2"/>
                  <c:y val="0.17888224683962581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/>
                      <a:t>3</a:t>
                    </a:r>
                    <a:r>
                      <a:rPr lang="ru-RU"/>
                      <a:t>1,2%</a:t>
                    </a:r>
                  </a:p>
                </c:rich>
              </c:tx>
              <c:spPr>
                <a:solidFill>
                  <a:srgbClr val="CCFFFF"/>
                </a:solidFill>
                <a:ln w="25399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0.1177956820447331"/>
                  <c:y val="0.19463528558764326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/>
                      <a:t>4</a:t>
                    </a:r>
                    <a:r>
                      <a:rPr lang="ru-RU"/>
                      <a:t>4,2%</a:t>
                    </a:r>
                  </a:p>
                </c:rich>
              </c:tx>
              <c:spPr>
                <a:solidFill>
                  <a:srgbClr val="CCFFFF"/>
                </a:solidFill>
                <a:ln w="25399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1.911920888218931E-2"/>
                  <c:y val="-0.19391584772833631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/>
                      <a:t>4</a:t>
                    </a:r>
                    <a:r>
                      <a:rPr lang="ru-RU"/>
                      <a:t>,8%</a:t>
                    </a:r>
                  </a:p>
                </c:rich>
              </c:tx>
              <c:spPr>
                <a:solidFill>
                  <a:srgbClr val="CCFFFF"/>
                </a:solidFill>
                <a:ln w="25399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0.12143665098892645"/>
                  <c:y val="-0.20294350350090073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00"/>
                      <a:t>3</a:t>
                    </a:r>
                    <a:r>
                      <a:rPr lang="ru-RU"/>
                      <a:t>,7%</a:t>
                    </a:r>
                  </a:p>
                </c:rich>
              </c:tx>
              <c:spPr>
                <a:solidFill>
                  <a:srgbClr val="CCFFFF"/>
                </a:solidFill>
                <a:ln w="25399">
                  <a:noFill/>
                </a:ln>
              </c:spPr>
              <c:dLblPos val="bestFit"/>
            </c:dLbl>
            <c:dLbl>
              <c:idx val="4"/>
              <c:layout>
                <c:manualLayout>
                  <c:xMode val="edge"/>
                  <c:yMode val="edge"/>
                  <c:x val="0.25629077353215285"/>
                  <c:y val="0.10935023771790807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Mode val="edge"/>
                  <c:yMode val="edge"/>
                  <c:x val="0.34762348555452022"/>
                  <c:y val="7.290015847860537E-2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Mode val="edge"/>
                  <c:yMode val="edge"/>
                  <c:x val="0.35228331780055927"/>
                  <c:y val="0.16323296354992081"/>
                </c:manualLayout>
              </c:layout>
              <c:dLblPos val="bestFit"/>
              <c:showPercent val="1"/>
            </c:dLbl>
            <c:numFmt formatCode="0%" sourceLinked="0"/>
            <c:spPr>
              <a:solidFill>
                <a:srgbClr val="CC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Salarizare</c:v>
                </c:pt>
                <c:pt idx="1">
                  <c:v>Medicamente</c:v>
                </c:pt>
                <c:pt idx="2">
                  <c:v>Reparatii</c:v>
                </c:pt>
                <c:pt idx="3">
                  <c:v>Serv. Comunale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31.2</c:v>
                </c:pt>
                <c:pt idx="1">
                  <c:v>44.2</c:v>
                </c:pt>
                <c:pt idx="2">
                  <c:v>4.8</c:v>
                </c:pt>
                <c:pt idx="3">
                  <c:v>3.7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1.7707362534948739E-2"/>
          <c:y val="0.88748019017432622"/>
          <c:w val="0.97110904007455778"/>
          <c:h val="0.112519809825673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'miscarea bunurilor2015-2018'!$C$14</c:f>
              <c:strCache>
                <c:ptCount val="1"/>
                <c:pt idx="0">
                  <c:v>Intrări 2015</c:v>
                </c:pt>
              </c:strCache>
            </c:strRef>
          </c:tx>
          <c:cat>
            <c:strRef>
              <c:f>'miscarea bunurilor2015-2018'!$B$15</c:f>
              <c:strCache>
                <c:ptCount val="1"/>
                <c:pt idx="0">
                  <c:v>Total:</c:v>
                </c:pt>
              </c:strCache>
            </c:strRef>
          </c:cat>
          <c:val>
            <c:numRef>
              <c:f>'miscarea bunurilor2015-2018'!$C$15</c:f>
              <c:numCache>
                <c:formatCode>#,##0.00</c:formatCode>
                <c:ptCount val="1"/>
                <c:pt idx="0">
                  <c:v>138698483.97</c:v>
                </c:pt>
              </c:numCache>
            </c:numRef>
          </c:val>
        </c:ser>
        <c:ser>
          <c:idx val="1"/>
          <c:order val="1"/>
          <c:tx>
            <c:strRef>
              <c:f>'miscarea bunurilor2015-2018'!$D$14</c:f>
              <c:strCache>
                <c:ptCount val="1"/>
                <c:pt idx="0">
                  <c:v>Intrări 2016</c:v>
                </c:pt>
              </c:strCache>
            </c:strRef>
          </c:tx>
          <c:dLbls>
            <c:dLbl>
              <c:idx val="0"/>
              <c:layout>
                <c:manualLayout>
                  <c:x val="-0.10938199145770987"/>
                  <c:y val="-2.9550319458519176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dirty="0">
                        <a:solidFill>
                          <a:srgbClr val="C00000"/>
                        </a:solidFill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</a:rPr>
                      <a:t>1</a:t>
                    </a:r>
                    <a:r>
                      <a:rPr lang="en-US" sz="1600" b="1" dirty="0">
                        <a:solidFill>
                          <a:srgbClr val="C00000"/>
                        </a:solidFill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</a:rPr>
                      <a:t>33</a:t>
                    </a:r>
                    <a:r>
                      <a:rPr lang="en-US" sz="1600" b="1" dirty="0">
                        <a:solidFill>
                          <a:srgbClr val="00467A"/>
                        </a:solidFill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</a:rPr>
                      <a:t> </a:t>
                    </a:r>
                    <a:r>
                      <a:rPr lang="ro-RO" sz="1600" b="1" dirty="0">
                        <a:solidFill>
                          <a:srgbClr val="00467A"/>
                        </a:solidFill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</a:rPr>
                      <a:t>mln</a:t>
                    </a:r>
                    <a:endParaRPr lang="en-US" sz="1600" b="1" dirty="0">
                      <a:solidFill>
                        <a:srgbClr val="00467A"/>
                      </a:solidFill>
                      <a:effectLst>
                        <a:outerShdw blurRad="38100" dist="38100" dir="2700000" algn="tl">
                          <a:srgbClr val="000000">
                            <a:alpha val="43137"/>
                          </a:srgbClr>
                        </a:outerShdw>
                      </a:effectLst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'miscarea bunurilor2015-2018'!$B$15</c:f>
              <c:strCache>
                <c:ptCount val="1"/>
                <c:pt idx="0">
                  <c:v>Total:</c:v>
                </c:pt>
              </c:strCache>
            </c:strRef>
          </c:cat>
          <c:val>
            <c:numRef>
              <c:f>'miscarea bunurilor2015-2018'!$D$15</c:f>
              <c:numCache>
                <c:formatCode>#,##0.00</c:formatCode>
                <c:ptCount val="1"/>
                <c:pt idx="0">
                  <c:v>133507902.33</c:v>
                </c:pt>
              </c:numCache>
            </c:numRef>
          </c:val>
        </c:ser>
        <c:ser>
          <c:idx val="2"/>
          <c:order val="2"/>
          <c:tx>
            <c:strRef>
              <c:f>'miscarea bunurilor2015-2018'!$E$14</c:f>
              <c:strCache>
                <c:ptCount val="1"/>
                <c:pt idx="0">
                  <c:v>Intrări 2017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rgbClr val="FF9900"/>
              </a:solidFill>
            </a:ln>
          </c:spPr>
          <c:dLbls>
            <c:dLbl>
              <c:idx val="0"/>
              <c:layout>
                <c:manualLayout>
                  <c:x val="-2.1787488741029145E-2"/>
                  <c:y val="-1.2713311042589052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dirty="0">
                        <a:solidFill>
                          <a:srgbClr val="C00000"/>
                        </a:solidFill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</a:rPr>
                      <a:t>146</a:t>
                    </a:r>
                    <a:r>
                      <a:rPr lang="en-US" sz="1400" b="1" dirty="0"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</a:rPr>
                      <a:t> </a:t>
                    </a:r>
                    <a:r>
                      <a:rPr lang="ro-RO" sz="1400" b="1" dirty="0"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</a:rPr>
                      <a:t>mln</a:t>
                    </a:r>
                    <a:endParaRPr lang="en-US" sz="1400" b="1" dirty="0">
                      <a:effectLst>
                        <a:outerShdw blurRad="38100" dist="38100" dir="2700000" algn="tl">
                          <a:srgbClr val="000000">
                            <a:alpha val="43137"/>
                          </a:srgbClr>
                        </a:outerShdw>
                      </a:effectLst>
                    </a:endParaRPr>
                  </a:p>
                </c:rich>
              </c:tx>
              <c:showVal val="1"/>
            </c:dLbl>
            <c:showVal val="1"/>
          </c:dLbls>
          <c:cat>
            <c:strRef>
              <c:f>'miscarea bunurilor2015-2018'!$B$15</c:f>
              <c:strCache>
                <c:ptCount val="1"/>
                <c:pt idx="0">
                  <c:v>Total:</c:v>
                </c:pt>
              </c:strCache>
            </c:strRef>
          </c:cat>
          <c:val>
            <c:numRef>
              <c:f>'miscarea bunurilor2015-2018'!$E$15</c:f>
              <c:numCache>
                <c:formatCode>#,##0.00</c:formatCode>
                <c:ptCount val="1"/>
                <c:pt idx="0">
                  <c:v>146895802.28999999</c:v>
                </c:pt>
              </c:numCache>
            </c:numRef>
          </c:val>
        </c:ser>
        <c:ser>
          <c:idx val="3"/>
          <c:order val="3"/>
          <c:tx>
            <c:strRef>
              <c:f>'miscarea bunurilor2015-2018'!$F$14</c:f>
              <c:strCache>
                <c:ptCount val="1"/>
                <c:pt idx="0">
                  <c:v>Intrări 2018</c:v>
                </c:pt>
              </c:strCache>
            </c:strRef>
          </c:tx>
          <c:spPr>
            <a:solidFill>
              <a:srgbClr val="00FFFF"/>
            </a:solidFill>
          </c:spPr>
          <c:dLbls>
            <c:dLbl>
              <c:idx val="0"/>
              <c:layout>
                <c:manualLayout>
                  <c:x val="4.1816009557945122E-2"/>
                  <c:y val="-7.576289858377072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>
                        <a:solidFill>
                          <a:srgbClr val="C00000"/>
                        </a:solidFill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</a:rPr>
                      <a:t>1</a:t>
                    </a:r>
                    <a:r>
                      <a:rPr lang="en-US" sz="1400" b="1" dirty="0">
                        <a:solidFill>
                          <a:srgbClr val="C00000"/>
                        </a:solidFill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</a:rPr>
                      <a:t>73</a:t>
                    </a:r>
                    <a:r>
                      <a:rPr lang="ro-RO" sz="1400" b="1" dirty="0">
                        <a:solidFill>
                          <a:srgbClr val="C00000"/>
                        </a:solidFill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</a:rPr>
                      <a:t> mln</a:t>
                    </a:r>
                    <a:endParaRPr lang="en-US" sz="1400" b="1" dirty="0">
                      <a:solidFill>
                        <a:srgbClr val="00467A"/>
                      </a:solidFill>
                      <a:effectLst>
                        <a:outerShdw blurRad="38100" dist="38100" dir="2700000" algn="tl">
                          <a:srgbClr val="000000">
                            <a:alpha val="43137"/>
                          </a:srgbClr>
                        </a:outerShdw>
                      </a:effectLst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'miscarea bunurilor2015-2018'!$B$15</c:f>
              <c:strCache>
                <c:ptCount val="1"/>
                <c:pt idx="0">
                  <c:v>Total:</c:v>
                </c:pt>
              </c:strCache>
            </c:strRef>
          </c:cat>
          <c:val>
            <c:numRef>
              <c:f>'miscarea bunurilor2015-2018'!$F$15</c:f>
              <c:numCache>
                <c:formatCode>#,##0.00</c:formatCode>
                <c:ptCount val="1"/>
                <c:pt idx="0">
                  <c:v>173013160.15000001</c:v>
                </c:pt>
              </c:numCache>
            </c:numRef>
          </c:val>
        </c:ser>
        <c:shape val="box"/>
        <c:axId val="109726336"/>
        <c:axId val="109748992"/>
        <c:axId val="0"/>
      </c:bar3DChart>
      <c:catAx>
        <c:axId val="10972633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9748992"/>
        <c:crosses val="autoZero"/>
        <c:auto val="1"/>
        <c:lblAlgn val="ctr"/>
        <c:lblOffset val="100"/>
      </c:catAx>
      <c:valAx>
        <c:axId val="109748992"/>
        <c:scaling>
          <c:orientation val="minMax"/>
        </c:scaling>
        <c:axPos val="l"/>
        <c:majorGridlines/>
        <c:numFmt formatCode="#,##0.00" sourceLinked="1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9726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91746864975212"/>
          <c:y val="0.19098149741425141"/>
          <c:w val="0.17382327209098863"/>
          <c:h val="0.40477847582458765"/>
        </c:manualLayout>
      </c:layout>
      <c:txPr>
        <a:bodyPr/>
        <a:lstStyle/>
        <a:p>
          <a:pPr>
            <a:defRPr lang="en-US" sz="1200" b="1">
              <a:solidFill>
                <a:srgbClr val="20367E"/>
              </a:solidFill>
            </a:defRPr>
          </a:pPr>
          <a:endParaRPr lang="ru-RU"/>
        </a:p>
      </c:txPr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Rh021_finance_rhythm 2">
    <a:dk1>
      <a:srgbClr val="1C1C1C"/>
    </a:dk1>
    <a:lt1>
      <a:srgbClr val="FFFFFF"/>
    </a:lt1>
    <a:dk2>
      <a:srgbClr val="292929"/>
    </a:dk2>
    <a:lt2>
      <a:srgbClr val="DDDDDD"/>
    </a:lt2>
    <a:accent1>
      <a:srgbClr val="20A0BA"/>
    </a:accent1>
    <a:accent2>
      <a:srgbClr val="20296A"/>
    </a:accent2>
    <a:accent3>
      <a:srgbClr val="FFFFFF"/>
    </a:accent3>
    <a:accent4>
      <a:srgbClr val="161616"/>
    </a:accent4>
    <a:accent5>
      <a:srgbClr val="ABCDD9"/>
    </a:accent5>
    <a:accent6>
      <a:srgbClr val="1C245F"/>
    </a:accent6>
    <a:hlink>
      <a:srgbClr val="DFC75F"/>
    </a:hlink>
    <a:folHlink>
      <a:srgbClr val="A0D35D"/>
    </a:folHlink>
  </a:clrScheme>
  <a:fontScheme name="Rh021_finance_rhythm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ONCO1</dc:creator>
  <cp:lastModifiedBy>ONCO1</cp:lastModifiedBy>
  <cp:revision>11</cp:revision>
  <dcterms:created xsi:type="dcterms:W3CDTF">2019-02-21T12:51:00Z</dcterms:created>
  <dcterms:modified xsi:type="dcterms:W3CDTF">2019-02-22T08:57:00Z</dcterms:modified>
</cp:coreProperties>
</file>